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85" w:rsidRDefault="00957A85" w:rsidP="00957A85">
      <w:pPr>
        <w:pBdr>
          <w:bottom w:val="single" w:sz="4" w:space="1" w:color="000000"/>
        </w:pBdr>
        <w:tabs>
          <w:tab w:val="right" w:pos="9000"/>
        </w:tabs>
      </w:pPr>
      <w:r>
        <w:t>June 2021</w:t>
      </w:r>
      <w:r>
        <w:tab/>
        <w:t>2:240-E1</w:t>
      </w:r>
    </w:p>
    <w:p w:rsidR="00957A85" w:rsidRDefault="00957A85" w:rsidP="00957A85">
      <w:pPr>
        <w:tabs>
          <w:tab w:val="right" w:pos="9000"/>
        </w:tabs>
      </w:pPr>
    </w:p>
    <w:p w:rsidR="00957A85" w:rsidRDefault="00957A85" w:rsidP="00957A85">
      <w:pPr>
        <w:pStyle w:val="Heading1"/>
      </w:pPr>
      <w:r>
        <w:t>School Board</w:t>
      </w:r>
    </w:p>
    <w:p w:rsidR="00957A85" w:rsidRDefault="00957A85" w:rsidP="00957A85">
      <w:pPr>
        <w:pStyle w:val="Heading2"/>
      </w:pPr>
      <w:r>
        <w:t>Exhibit - PRESS Issue Updates</w:t>
      </w:r>
    </w:p>
    <w:p w:rsidR="00957A85" w:rsidRDefault="00957A85" w:rsidP="00957A85">
      <w:pPr>
        <w:pBdr>
          <w:top w:val="nil"/>
          <w:left w:val="nil"/>
          <w:bottom w:val="nil"/>
          <w:right w:val="nil"/>
          <w:between w:val="nil"/>
        </w:pBdr>
        <w:spacing w:before="60" w:after="60"/>
        <w:jc w:val="both"/>
        <w:rPr>
          <w:color w:val="000000"/>
        </w:rPr>
      </w:pPr>
      <w:r>
        <w:rPr>
          <w:color w:val="000000"/>
        </w:rPr>
        <w:t xml:space="preserve">This procedure is for </w:t>
      </w:r>
      <w:r>
        <w:rPr>
          <w:b/>
          <w:color w:val="000000"/>
        </w:rPr>
        <w:t>PRESS</w:t>
      </w:r>
      <w:r>
        <w:rPr>
          <w:color w:val="000000"/>
        </w:rPr>
        <w:t xml:space="preserve"> subscribers. For subscribers to </w:t>
      </w:r>
      <w:r>
        <w:rPr>
          <w:b/>
          <w:color w:val="000000"/>
        </w:rPr>
        <w:t>PRESS Plus</w:t>
      </w:r>
      <w:r>
        <w:rPr>
          <w:color w:val="000000"/>
        </w:rPr>
        <w:t xml:space="preserve">, IASB’s full-maintenance policy update service, the </w:t>
      </w:r>
      <w:r>
        <w:rPr>
          <w:b/>
          <w:color w:val="000000"/>
        </w:rPr>
        <w:t xml:space="preserve">PRESS </w:t>
      </w:r>
      <w:proofErr w:type="gramStart"/>
      <w:r>
        <w:rPr>
          <w:b/>
          <w:color w:val="000000"/>
        </w:rPr>
        <w:t>Plus</w:t>
      </w:r>
      <w:proofErr w:type="gramEnd"/>
      <w:r>
        <w:rPr>
          <w:color w:val="000000"/>
        </w:rPr>
        <w:t xml:space="preserve"> Online User Guide, available at </w:t>
      </w:r>
      <w:hyperlink r:id="rId8">
        <w:r>
          <w:rPr>
            <w:color w:val="0000FF"/>
            <w:u w:val="single"/>
          </w:rPr>
          <w:t>www.iasb.com/policy</w:t>
        </w:r>
      </w:hyperlink>
      <w:r>
        <w:rPr>
          <w:color w:val="000000"/>
        </w:rPr>
        <w:t>, provides further guidance.</w:t>
      </w:r>
    </w:p>
    <w:tbl>
      <w:tblPr>
        <w:tblW w:w="90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20"/>
        <w:gridCol w:w="6480"/>
      </w:tblGrid>
      <w:tr w:rsidR="00957A85" w:rsidTr="00D60B61">
        <w:tc>
          <w:tcPr>
            <w:tcW w:w="2520" w:type="dxa"/>
            <w:tcBorders>
              <w:top w:val="single" w:sz="6" w:space="0" w:color="000000"/>
              <w:left w:val="single" w:sz="6" w:space="0" w:color="000000"/>
              <w:bottom w:val="single" w:sz="6" w:space="0" w:color="000000"/>
              <w:right w:val="single" w:sz="6" w:space="0" w:color="000000"/>
            </w:tcBorders>
          </w:tcPr>
          <w:p w:rsidR="00957A85" w:rsidRDefault="00957A85" w:rsidP="00D60B61">
            <w:pPr>
              <w:spacing w:before="60" w:after="60"/>
              <w:jc w:val="center"/>
            </w:pPr>
            <w:r>
              <w:rPr>
                <w:b/>
              </w:rPr>
              <w:t>Actor</w:t>
            </w:r>
          </w:p>
        </w:tc>
        <w:tc>
          <w:tcPr>
            <w:tcW w:w="6480" w:type="dxa"/>
            <w:tcBorders>
              <w:top w:val="single" w:sz="6" w:space="0" w:color="000000"/>
              <w:left w:val="single" w:sz="6" w:space="0" w:color="000000"/>
              <w:bottom w:val="single" w:sz="6" w:space="0" w:color="000000"/>
              <w:right w:val="single" w:sz="6" w:space="0" w:color="000000"/>
            </w:tcBorders>
          </w:tcPr>
          <w:p w:rsidR="00957A85" w:rsidRDefault="00957A85" w:rsidP="00D60B61">
            <w:pPr>
              <w:spacing w:before="60" w:after="60"/>
              <w:jc w:val="center"/>
            </w:pPr>
            <w:r>
              <w:rPr>
                <w:b/>
              </w:rPr>
              <w:t>Action</w:t>
            </w:r>
          </w:p>
        </w:tc>
      </w:tr>
      <w:tr w:rsidR="00957A85" w:rsidTr="00D60B61">
        <w:tc>
          <w:tcPr>
            <w:tcW w:w="252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Superintendent</w:t>
            </w:r>
          </w:p>
        </w:tc>
        <w:tc>
          <w:tcPr>
            <w:tcW w:w="648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 xml:space="preserve">Manages the process for the Board to receive </w:t>
            </w:r>
            <w:r>
              <w:rPr>
                <w:b/>
                <w:color w:val="000000"/>
              </w:rPr>
              <w:t>PRESS</w:t>
            </w:r>
            <w:r>
              <w:rPr>
                <w:color w:val="000000"/>
              </w:rPr>
              <w:t xml:space="preserve"> updates to policies. </w:t>
            </w:r>
          </w:p>
          <w:p w:rsidR="00957A85" w:rsidRDefault="00957A85" w:rsidP="00D60B61">
            <w:pPr>
              <w:pBdr>
                <w:top w:val="nil"/>
                <w:left w:val="nil"/>
                <w:bottom w:val="nil"/>
                <w:right w:val="nil"/>
                <w:between w:val="nil"/>
              </w:pBdr>
              <w:spacing w:before="60" w:after="60"/>
              <w:rPr>
                <w:color w:val="000000"/>
              </w:rPr>
            </w:pPr>
            <w:r>
              <w:rPr>
                <w:color w:val="000000"/>
              </w:rPr>
              <w:t xml:space="preserve">Manages the Board’s compliance with the Open Meetings Act. Ensures that, as appropriate, the agendas for the Board Policy Committee and School Board include discussion and list action to consider, adopt, or revise Board policies and Board exhibits. </w:t>
            </w:r>
          </w:p>
          <w:p w:rsidR="00957A85" w:rsidRDefault="00957A85" w:rsidP="00D60B61">
            <w:pPr>
              <w:pBdr>
                <w:top w:val="nil"/>
                <w:left w:val="nil"/>
                <w:bottom w:val="nil"/>
                <w:right w:val="nil"/>
                <w:between w:val="nil"/>
              </w:pBdr>
              <w:spacing w:before="60" w:after="60"/>
              <w:rPr>
                <w:color w:val="000000"/>
              </w:rPr>
            </w:pPr>
            <w:r>
              <w:rPr>
                <w:color w:val="000000"/>
              </w:rPr>
              <w:t>Manages the process for approving new or revised administrative procedures, administrative procedure exhibits, and changes to employee and student handbooks.</w:t>
            </w:r>
          </w:p>
          <w:p w:rsidR="00957A85" w:rsidRDefault="00957A85" w:rsidP="00D60B61">
            <w:pPr>
              <w:pBdr>
                <w:top w:val="nil"/>
                <w:left w:val="nil"/>
                <w:bottom w:val="nil"/>
                <w:right w:val="nil"/>
                <w:between w:val="nil"/>
              </w:pBdr>
              <w:spacing w:before="60" w:after="60"/>
              <w:rPr>
                <w:color w:val="000000"/>
              </w:rPr>
            </w:pPr>
            <w:r>
              <w:rPr>
                <w:color w:val="000000"/>
              </w:rPr>
              <w:t>Communicates all policy and administrative procedure revisions or adoptions, as appropriate, to staff members, parents, students, and community members.</w:t>
            </w:r>
          </w:p>
        </w:tc>
      </w:tr>
      <w:tr w:rsidR="00957A85" w:rsidTr="00D60B61">
        <w:tc>
          <w:tcPr>
            <w:tcW w:w="252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Superintendent or Superintendent’s Secretary</w:t>
            </w:r>
          </w:p>
        </w:tc>
        <w:tc>
          <w:tcPr>
            <w:tcW w:w="648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jc w:val="both"/>
              <w:rPr>
                <w:color w:val="000000"/>
              </w:rPr>
            </w:pPr>
            <w:r>
              <w:rPr>
                <w:color w:val="000000"/>
              </w:rPr>
              <w:t xml:space="preserve">Updates the District’s </w:t>
            </w:r>
            <w:r>
              <w:rPr>
                <w:i/>
                <w:color w:val="000000"/>
              </w:rPr>
              <w:t>Roster</w:t>
            </w:r>
            <w:r>
              <w:rPr>
                <w:color w:val="000000"/>
              </w:rPr>
              <w:t xml:space="preserve"> as follows:</w:t>
            </w:r>
          </w:p>
          <w:p w:rsidR="00957A85" w:rsidRDefault="00957A85" w:rsidP="00957A85">
            <w:pPr>
              <w:numPr>
                <w:ilvl w:val="0"/>
                <w:numId w:val="2"/>
              </w:numPr>
              <w:pBdr>
                <w:top w:val="nil"/>
                <w:left w:val="nil"/>
                <w:bottom w:val="nil"/>
                <w:right w:val="nil"/>
                <w:between w:val="nil"/>
              </w:pBdr>
              <w:jc w:val="both"/>
              <w:rPr>
                <w:color w:val="000000"/>
              </w:rPr>
            </w:pPr>
            <w:r>
              <w:rPr>
                <w:color w:val="000000"/>
              </w:rPr>
              <w:t xml:space="preserve">Go to </w:t>
            </w:r>
            <w:hyperlink r:id="rId9">
              <w:r>
                <w:rPr>
                  <w:color w:val="0000FF"/>
                  <w:u w:val="single"/>
                </w:rPr>
                <w:t>www.iasb.com</w:t>
              </w:r>
            </w:hyperlink>
            <w:r>
              <w:rPr>
                <w:color w:val="000000"/>
              </w:rPr>
              <w:t xml:space="preserve"> and click on the </w:t>
            </w:r>
            <w:r>
              <w:rPr>
                <w:b/>
                <w:color w:val="000000"/>
              </w:rPr>
              <w:t>Member Login</w:t>
            </w:r>
            <w:r>
              <w:rPr>
                <w:color w:val="000000"/>
              </w:rPr>
              <w:t xml:space="preserve"> button.</w:t>
            </w:r>
          </w:p>
          <w:p w:rsidR="00957A85" w:rsidRDefault="00957A85" w:rsidP="00957A85">
            <w:pPr>
              <w:numPr>
                <w:ilvl w:val="0"/>
                <w:numId w:val="2"/>
              </w:numPr>
              <w:pBdr>
                <w:top w:val="nil"/>
                <w:left w:val="nil"/>
                <w:bottom w:val="nil"/>
                <w:right w:val="nil"/>
                <w:between w:val="nil"/>
              </w:pBdr>
              <w:jc w:val="both"/>
              <w:rPr>
                <w:color w:val="000000"/>
              </w:rPr>
            </w:pPr>
            <w:r>
              <w:rPr>
                <w:color w:val="000000"/>
              </w:rPr>
              <w:t>Log in using your email address and password. If you do not know your password, use the “forgot your password?" link.</w:t>
            </w:r>
          </w:p>
          <w:p w:rsidR="00957A85" w:rsidRDefault="00957A85" w:rsidP="00957A85">
            <w:pPr>
              <w:numPr>
                <w:ilvl w:val="0"/>
                <w:numId w:val="2"/>
              </w:numPr>
              <w:pBdr>
                <w:top w:val="nil"/>
                <w:left w:val="nil"/>
                <w:bottom w:val="nil"/>
                <w:right w:val="nil"/>
                <w:between w:val="nil"/>
              </w:pBdr>
              <w:jc w:val="both"/>
              <w:rPr>
                <w:color w:val="000000"/>
              </w:rPr>
            </w:pPr>
            <w:r>
              <w:rPr>
                <w:color w:val="000000"/>
              </w:rPr>
              <w:t xml:space="preserve">At the bottom of your Profile page, click on </w:t>
            </w:r>
            <w:r>
              <w:rPr>
                <w:b/>
                <w:color w:val="000000"/>
              </w:rPr>
              <w:t>Districts You Manage</w:t>
            </w:r>
            <w:r>
              <w:rPr>
                <w:color w:val="000000"/>
              </w:rPr>
              <w:t xml:space="preserve"> and then the District name.</w:t>
            </w:r>
          </w:p>
          <w:p w:rsidR="00957A85" w:rsidRDefault="00957A85" w:rsidP="00957A85">
            <w:pPr>
              <w:numPr>
                <w:ilvl w:val="0"/>
                <w:numId w:val="2"/>
              </w:numPr>
              <w:pBdr>
                <w:top w:val="nil"/>
                <w:left w:val="nil"/>
                <w:bottom w:val="nil"/>
                <w:right w:val="nil"/>
                <w:between w:val="nil"/>
              </w:pBdr>
              <w:jc w:val="both"/>
              <w:rPr>
                <w:color w:val="000000"/>
              </w:rPr>
            </w:pPr>
            <w:r>
              <w:rPr>
                <w:color w:val="000000"/>
              </w:rPr>
              <w:t xml:space="preserve">Review and verify or change the District’s existing records. Ensure that all current board members, administrators, and anyone else on staff who accesses </w:t>
            </w:r>
            <w:r>
              <w:rPr>
                <w:b/>
                <w:color w:val="000000"/>
              </w:rPr>
              <w:t>PRESS</w:t>
            </w:r>
            <w:r>
              <w:rPr>
                <w:color w:val="000000"/>
              </w:rPr>
              <w:t xml:space="preserve"> are listed with their current email addresses.</w:t>
            </w:r>
          </w:p>
        </w:tc>
      </w:tr>
      <w:tr w:rsidR="00957A85" w:rsidTr="00D60B61">
        <w:tc>
          <w:tcPr>
            <w:tcW w:w="252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Designated support staff</w:t>
            </w:r>
          </w:p>
        </w:tc>
        <w:tc>
          <w:tcPr>
            <w:tcW w:w="648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 xml:space="preserve">Logs in to </w:t>
            </w:r>
            <w:r>
              <w:rPr>
                <w:b/>
                <w:color w:val="000000"/>
              </w:rPr>
              <w:t>PRESS</w:t>
            </w:r>
            <w:r>
              <w:rPr>
                <w:color w:val="000000"/>
              </w:rPr>
              <w:t xml:space="preserve"> Online as follows:</w:t>
            </w:r>
          </w:p>
          <w:p w:rsidR="00957A85" w:rsidRDefault="00957A85" w:rsidP="00957A85">
            <w:pPr>
              <w:numPr>
                <w:ilvl w:val="0"/>
                <w:numId w:val="3"/>
              </w:numPr>
              <w:pBdr>
                <w:top w:val="nil"/>
                <w:left w:val="nil"/>
                <w:bottom w:val="nil"/>
                <w:right w:val="nil"/>
                <w:between w:val="nil"/>
              </w:pBdr>
              <w:jc w:val="both"/>
              <w:rPr>
                <w:color w:val="000000"/>
              </w:rPr>
            </w:pPr>
            <w:r>
              <w:rPr>
                <w:color w:val="000000"/>
              </w:rPr>
              <w:t xml:space="preserve">Go to </w:t>
            </w:r>
            <w:hyperlink r:id="rId10">
              <w:r>
                <w:rPr>
                  <w:color w:val="0000FF"/>
                  <w:u w:val="single"/>
                </w:rPr>
                <w:t>www.iasb.com</w:t>
              </w:r>
            </w:hyperlink>
            <w:r>
              <w:rPr>
                <w:color w:val="000000"/>
              </w:rPr>
              <w:t xml:space="preserve"> and click on the </w:t>
            </w:r>
            <w:r>
              <w:rPr>
                <w:b/>
                <w:color w:val="000000"/>
              </w:rPr>
              <w:t>Member Login</w:t>
            </w:r>
            <w:r>
              <w:rPr>
                <w:color w:val="000000"/>
              </w:rPr>
              <w:t xml:space="preserve"> button.</w:t>
            </w:r>
          </w:p>
          <w:p w:rsidR="00957A85" w:rsidRDefault="00957A85" w:rsidP="00957A85">
            <w:pPr>
              <w:numPr>
                <w:ilvl w:val="0"/>
                <w:numId w:val="3"/>
              </w:numPr>
              <w:pBdr>
                <w:top w:val="nil"/>
                <w:left w:val="nil"/>
                <w:bottom w:val="nil"/>
                <w:right w:val="nil"/>
                <w:between w:val="nil"/>
              </w:pBdr>
              <w:jc w:val="both"/>
              <w:rPr>
                <w:color w:val="000000"/>
              </w:rPr>
            </w:pPr>
            <w:r>
              <w:rPr>
                <w:color w:val="000000"/>
              </w:rPr>
              <w:t>Log in using your email address and password. If you do not know your password, use the “forgot your password?" link.</w:t>
            </w:r>
          </w:p>
          <w:p w:rsidR="00957A85" w:rsidRDefault="00957A85" w:rsidP="00957A85">
            <w:pPr>
              <w:numPr>
                <w:ilvl w:val="0"/>
                <w:numId w:val="3"/>
              </w:numPr>
              <w:pBdr>
                <w:top w:val="nil"/>
                <w:left w:val="nil"/>
                <w:bottom w:val="nil"/>
                <w:right w:val="nil"/>
                <w:between w:val="nil"/>
              </w:pBdr>
              <w:jc w:val="both"/>
              <w:rPr>
                <w:color w:val="000000"/>
              </w:rPr>
            </w:pPr>
            <w:r>
              <w:rPr>
                <w:color w:val="000000"/>
              </w:rPr>
              <w:t>Under “</w:t>
            </w:r>
            <w:r>
              <w:rPr>
                <w:b/>
                <w:color w:val="000000"/>
              </w:rPr>
              <w:t>My Account Links</w:t>
            </w:r>
            <w:r>
              <w:rPr>
                <w:color w:val="000000"/>
              </w:rPr>
              <w:t>,” click “</w:t>
            </w:r>
            <w:r>
              <w:rPr>
                <w:b/>
                <w:color w:val="000000"/>
              </w:rPr>
              <w:t>PRESS</w:t>
            </w:r>
            <w:r>
              <w:rPr>
                <w:color w:val="000000"/>
              </w:rPr>
              <w:t xml:space="preserve"> </w:t>
            </w:r>
            <w:r>
              <w:rPr>
                <w:b/>
                <w:color w:val="000000"/>
              </w:rPr>
              <w:t>Login</w:t>
            </w:r>
            <w:r>
              <w:rPr>
                <w:color w:val="000000"/>
              </w:rPr>
              <w:t>.”</w:t>
            </w:r>
          </w:p>
          <w:p w:rsidR="00957A85" w:rsidRDefault="00957A85" w:rsidP="00D60B61">
            <w:pPr>
              <w:pBdr>
                <w:top w:val="nil"/>
                <w:left w:val="nil"/>
                <w:bottom w:val="nil"/>
                <w:right w:val="nil"/>
                <w:between w:val="nil"/>
              </w:pBdr>
              <w:spacing w:before="60" w:after="60"/>
              <w:rPr>
                <w:color w:val="000000"/>
              </w:rPr>
            </w:pPr>
            <w:r>
              <w:rPr>
                <w:color w:val="000000"/>
              </w:rPr>
              <w:t xml:space="preserve">To each member of the Policy Committee, full Board, or other interested school official, emails or otherwise distributes the following: </w:t>
            </w:r>
          </w:p>
          <w:p w:rsidR="00957A85" w:rsidRDefault="00957A85" w:rsidP="00957A85">
            <w:pPr>
              <w:numPr>
                <w:ilvl w:val="0"/>
                <w:numId w:val="1"/>
              </w:numPr>
              <w:pBdr>
                <w:top w:val="nil"/>
                <w:left w:val="nil"/>
                <w:bottom w:val="nil"/>
                <w:right w:val="nil"/>
                <w:between w:val="nil"/>
              </w:pBdr>
              <w:ind w:left="720"/>
              <w:jc w:val="both"/>
              <w:rPr>
                <w:color w:val="000000"/>
              </w:rPr>
            </w:pPr>
            <w:r>
              <w:rPr>
                <w:b/>
                <w:color w:val="000000"/>
              </w:rPr>
              <w:t>PRESS Update Memo</w:t>
            </w:r>
            <w:r>
              <w:rPr>
                <w:color w:val="000000"/>
              </w:rPr>
              <w:t>;</w:t>
            </w:r>
          </w:p>
          <w:p w:rsidR="00957A85" w:rsidRDefault="00957A85" w:rsidP="00957A85">
            <w:pPr>
              <w:numPr>
                <w:ilvl w:val="0"/>
                <w:numId w:val="1"/>
              </w:numPr>
              <w:pBdr>
                <w:top w:val="nil"/>
                <w:left w:val="nil"/>
                <w:bottom w:val="nil"/>
                <w:right w:val="nil"/>
                <w:between w:val="nil"/>
              </w:pBdr>
              <w:ind w:left="720"/>
              <w:jc w:val="both"/>
              <w:rPr>
                <w:color w:val="000000"/>
              </w:rPr>
            </w:pPr>
            <w:r>
              <w:rPr>
                <w:b/>
                <w:color w:val="000000"/>
              </w:rPr>
              <w:t>PRESS</w:t>
            </w:r>
            <w:r>
              <w:rPr>
                <w:color w:val="000000"/>
              </w:rPr>
              <w:t xml:space="preserve"> video tutorial link at: </w:t>
            </w:r>
            <w:hyperlink r:id="rId11">
              <w:r>
                <w:rPr>
                  <w:color w:val="0000FF"/>
                </w:rPr>
                <w:t>www.iasb.com/policy</w:t>
              </w:r>
            </w:hyperlink>
            <w:r>
              <w:rPr>
                <w:color w:val="000000"/>
              </w:rPr>
              <w:t>;</w:t>
            </w:r>
          </w:p>
          <w:p w:rsidR="00957A85" w:rsidRDefault="00957A85" w:rsidP="00957A85">
            <w:pPr>
              <w:numPr>
                <w:ilvl w:val="0"/>
                <w:numId w:val="1"/>
              </w:numPr>
              <w:pBdr>
                <w:top w:val="nil"/>
                <w:left w:val="nil"/>
                <w:bottom w:val="nil"/>
                <w:right w:val="nil"/>
                <w:between w:val="nil"/>
              </w:pBdr>
              <w:ind w:left="720"/>
              <w:jc w:val="both"/>
              <w:rPr>
                <w:color w:val="000000"/>
              </w:rPr>
            </w:pPr>
            <w:r>
              <w:rPr>
                <w:color w:val="000000"/>
              </w:rPr>
              <w:t xml:space="preserve">Committee worksheets; and </w:t>
            </w:r>
          </w:p>
          <w:p w:rsidR="00957A85" w:rsidRDefault="00957A85" w:rsidP="00957A85">
            <w:pPr>
              <w:numPr>
                <w:ilvl w:val="0"/>
                <w:numId w:val="1"/>
              </w:numPr>
              <w:pBdr>
                <w:top w:val="nil"/>
                <w:left w:val="nil"/>
                <w:bottom w:val="nil"/>
                <w:right w:val="nil"/>
                <w:between w:val="nil"/>
              </w:pBdr>
              <w:spacing w:after="60"/>
              <w:ind w:left="720"/>
              <w:jc w:val="both"/>
              <w:rPr>
                <w:color w:val="000000"/>
              </w:rPr>
            </w:pPr>
            <w:r>
              <w:rPr>
                <w:color w:val="000000"/>
              </w:rPr>
              <w:t xml:space="preserve">Current District policy in relevant areas. </w:t>
            </w:r>
          </w:p>
          <w:p w:rsidR="00957A85" w:rsidRDefault="00957A85" w:rsidP="00D60B61">
            <w:pPr>
              <w:pBdr>
                <w:top w:val="nil"/>
                <w:left w:val="nil"/>
                <w:bottom w:val="nil"/>
                <w:right w:val="nil"/>
                <w:between w:val="nil"/>
              </w:pBdr>
              <w:spacing w:after="60"/>
              <w:rPr>
                <w:color w:val="000000"/>
              </w:rPr>
            </w:pPr>
            <w:r>
              <w:rPr>
                <w:color w:val="000000"/>
              </w:rPr>
              <w:t>As appropriate, includes new and revised policies in the Board meeting packets.</w:t>
            </w:r>
          </w:p>
          <w:p w:rsidR="00957A85" w:rsidRDefault="00957A85" w:rsidP="00D60B61">
            <w:pPr>
              <w:pBdr>
                <w:top w:val="nil"/>
                <w:left w:val="nil"/>
                <w:bottom w:val="nil"/>
                <w:right w:val="nil"/>
                <w:between w:val="nil"/>
              </w:pBdr>
              <w:spacing w:before="60" w:after="60"/>
              <w:rPr>
                <w:color w:val="000000"/>
              </w:rPr>
            </w:pPr>
            <w:r>
              <w:rPr>
                <w:color w:val="000000"/>
              </w:rPr>
              <w:t xml:space="preserve">After a policy is adopted or revised, updates the District’s policy </w:t>
            </w:r>
            <w:r>
              <w:rPr>
                <w:color w:val="000000"/>
              </w:rPr>
              <w:lastRenderedPageBreak/>
              <w:t>manual master electronic file and adds or updates adoption dates.</w:t>
            </w:r>
          </w:p>
          <w:p w:rsidR="00957A85" w:rsidRDefault="00957A85" w:rsidP="00D60B61">
            <w:pPr>
              <w:pBdr>
                <w:top w:val="nil"/>
                <w:left w:val="nil"/>
                <w:bottom w:val="nil"/>
                <w:right w:val="nil"/>
                <w:between w:val="nil"/>
              </w:pBdr>
              <w:spacing w:before="60" w:after="60"/>
              <w:rPr>
                <w:color w:val="000000"/>
              </w:rPr>
            </w:pPr>
            <w:r>
              <w:rPr>
                <w:color w:val="000000"/>
              </w:rPr>
              <w:t>Archives previous version of revised policy.</w:t>
            </w:r>
          </w:p>
          <w:p w:rsidR="00957A85" w:rsidRDefault="00957A85" w:rsidP="00D60B61">
            <w:pPr>
              <w:pBdr>
                <w:top w:val="nil"/>
                <w:left w:val="nil"/>
                <w:bottom w:val="nil"/>
                <w:right w:val="nil"/>
                <w:between w:val="nil"/>
              </w:pBdr>
              <w:spacing w:before="60" w:after="60"/>
              <w:rPr>
                <w:color w:val="000000"/>
              </w:rPr>
            </w:pPr>
            <w:r>
              <w:rPr>
                <w:color w:val="000000"/>
              </w:rPr>
              <w:t>Follows district process for updating paper and online manuals.</w:t>
            </w:r>
          </w:p>
          <w:p w:rsidR="00957A85" w:rsidRDefault="00957A85" w:rsidP="00D60B61">
            <w:pPr>
              <w:pBdr>
                <w:top w:val="nil"/>
                <w:left w:val="nil"/>
                <w:bottom w:val="nil"/>
                <w:right w:val="nil"/>
                <w:between w:val="nil"/>
              </w:pBdr>
              <w:spacing w:before="60" w:after="60"/>
              <w:rPr>
                <w:color w:val="000000"/>
              </w:rPr>
            </w:pPr>
            <w:r>
              <w:rPr>
                <w:color w:val="000000"/>
              </w:rPr>
              <w:t xml:space="preserve">Considers distributing </w:t>
            </w:r>
            <w:r>
              <w:rPr>
                <w:b/>
                <w:color w:val="000000"/>
              </w:rPr>
              <w:t>PRESS Update Memo</w:t>
            </w:r>
            <w:r>
              <w:rPr>
                <w:color w:val="000000"/>
              </w:rPr>
              <w:t xml:space="preserve"> to Building Principals.</w:t>
            </w:r>
          </w:p>
        </w:tc>
      </w:tr>
      <w:tr w:rsidR="00957A85" w:rsidTr="00D60B61">
        <w:tc>
          <w:tcPr>
            <w:tcW w:w="252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lastRenderedPageBreak/>
              <w:t>Policy Committee (or Full Board)</w:t>
            </w:r>
          </w:p>
        </w:tc>
        <w:tc>
          <w:tcPr>
            <w:tcW w:w="648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 xml:space="preserve">Considers each </w:t>
            </w:r>
            <w:r>
              <w:rPr>
                <w:b/>
                <w:color w:val="000000"/>
              </w:rPr>
              <w:t>PRESS</w:t>
            </w:r>
            <w:r>
              <w:rPr>
                <w:color w:val="000000"/>
              </w:rPr>
              <w:t xml:space="preserve"> update. Reviews all footnote changes.</w:t>
            </w:r>
          </w:p>
          <w:p w:rsidR="00957A85" w:rsidRDefault="00957A85" w:rsidP="00D60B61">
            <w:pPr>
              <w:pBdr>
                <w:top w:val="nil"/>
                <w:left w:val="nil"/>
                <w:bottom w:val="nil"/>
                <w:right w:val="nil"/>
                <w:between w:val="nil"/>
              </w:pBdr>
              <w:spacing w:before="60" w:after="60"/>
              <w:rPr>
                <w:color w:val="000000"/>
              </w:rPr>
            </w:pPr>
            <w:r>
              <w:rPr>
                <w:color w:val="000000"/>
              </w:rPr>
              <w:t xml:space="preserve">Decides which changes require School Board discussion and which are appropriate as consent agenda items. </w:t>
            </w:r>
          </w:p>
          <w:p w:rsidR="00957A85" w:rsidRDefault="00957A85" w:rsidP="00D60B61">
            <w:pPr>
              <w:pBdr>
                <w:top w:val="nil"/>
                <w:left w:val="nil"/>
                <w:bottom w:val="nil"/>
                <w:right w:val="nil"/>
                <w:between w:val="nil"/>
              </w:pBdr>
              <w:spacing w:before="60" w:after="60"/>
              <w:ind w:left="252"/>
              <w:rPr>
                <w:color w:val="000000"/>
              </w:rPr>
            </w:pPr>
            <w:r>
              <w:rPr>
                <w:color w:val="000000"/>
              </w:rPr>
              <w:t>The following are appropriate for the consent agenda: changes to the Legal References and Cross References, and minor policy edits that do not require Board discussion.</w:t>
            </w:r>
          </w:p>
          <w:p w:rsidR="00957A85" w:rsidRDefault="00957A85" w:rsidP="00D60B61">
            <w:pPr>
              <w:pBdr>
                <w:top w:val="nil"/>
                <w:left w:val="nil"/>
                <w:bottom w:val="nil"/>
                <w:right w:val="nil"/>
                <w:between w:val="nil"/>
              </w:pBdr>
              <w:spacing w:before="60" w:after="60"/>
              <w:rPr>
                <w:color w:val="000000"/>
              </w:rPr>
            </w:pPr>
            <w:r>
              <w:rPr>
                <w:color w:val="000000"/>
              </w:rPr>
              <w:t xml:space="preserve">Requests review of recommended revisions by the Board Attorney, as appropriate. </w:t>
            </w:r>
          </w:p>
          <w:p w:rsidR="00957A85" w:rsidRDefault="00957A85" w:rsidP="00D60B61">
            <w:pPr>
              <w:pBdr>
                <w:top w:val="nil"/>
                <w:left w:val="nil"/>
                <w:bottom w:val="nil"/>
                <w:right w:val="nil"/>
                <w:between w:val="nil"/>
              </w:pBdr>
              <w:spacing w:before="60" w:after="60"/>
              <w:rPr>
                <w:color w:val="000000"/>
              </w:rPr>
            </w:pPr>
            <w:r>
              <w:rPr>
                <w:color w:val="000000"/>
              </w:rPr>
              <w:t xml:space="preserve">Presents recommendations regarding </w:t>
            </w:r>
            <w:r>
              <w:rPr>
                <w:b/>
                <w:color w:val="000000"/>
              </w:rPr>
              <w:t>PRESS</w:t>
            </w:r>
            <w:r>
              <w:rPr>
                <w:color w:val="000000"/>
              </w:rPr>
              <w:t xml:space="preserve"> updates to the Board at a regularly scheduled meeting.</w:t>
            </w:r>
          </w:p>
        </w:tc>
      </w:tr>
      <w:tr w:rsidR="00957A85" w:rsidTr="00D60B61">
        <w:tc>
          <w:tcPr>
            <w:tcW w:w="252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Full Board</w:t>
            </w:r>
          </w:p>
        </w:tc>
        <w:tc>
          <w:tcPr>
            <w:tcW w:w="648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 xml:space="preserve">Conducts a first reading of the policies that are recommended for adoption or revision. </w:t>
            </w:r>
          </w:p>
          <w:p w:rsidR="00957A85" w:rsidRDefault="00957A85" w:rsidP="00D60B61">
            <w:pPr>
              <w:pBdr>
                <w:top w:val="nil"/>
                <w:left w:val="nil"/>
                <w:bottom w:val="nil"/>
                <w:right w:val="nil"/>
                <w:between w:val="nil"/>
              </w:pBdr>
              <w:spacing w:before="60" w:after="60"/>
              <w:rPr>
                <w:color w:val="000000"/>
              </w:rPr>
            </w:pPr>
            <w:r>
              <w:rPr>
                <w:color w:val="000000"/>
              </w:rPr>
              <w:t>During the next regular meeting, conducts a second reading.</w:t>
            </w:r>
          </w:p>
          <w:p w:rsidR="00957A85" w:rsidRDefault="00957A85" w:rsidP="00D60B61">
            <w:pPr>
              <w:pBdr>
                <w:top w:val="nil"/>
                <w:left w:val="nil"/>
                <w:bottom w:val="nil"/>
                <w:right w:val="nil"/>
                <w:between w:val="nil"/>
              </w:pBdr>
              <w:spacing w:before="60" w:after="60"/>
              <w:ind w:left="252"/>
              <w:rPr>
                <w:color w:val="000000"/>
              </w:rPr>
            </w:pPr>
            <w:r>
              <w:rPr>
                <w:color w:val="000000"/>
              </w:rPr>
              <w:t>A second reading allows the Board to hear feedback from interested parties, including staff, parents, students, and community members; however, State law does not require two readings.</w:t>
            </w:r>
          </w:p>
          <w:p w:rsidR="00957A85" w:rsidRDefault="00957A85" w:rsidP="00D60B61">
            <w:pPr>
              <w:pBdr>
                <w:top w:val="nil"/>
                <w:left w:val="nil"/>
                <w:bottom w:val="nil"/>
                <w:right w:val="nil"/>
                <w:between w:val="nil"/>
              </w:pBdr>
              <w:spacing w:before="60" w:after="60"/>
              <w:ind w:left="-18"/>
              <w:rPr>
                <w:color w:val="000000"/>
              </w:rPr>
            </w:pPr>
            <w:r>
              <w:rPr>
                <w:color w:val="000000"/>
              </w:rPr>
              <w:t>After the second reading, consider and take action to approve the policies at a duly convened open meeting.</w:t>
            </w:r>
          </w:p>
        </w:tc>
      </w:tr>
      <w:tr w:rsidR="00957A85" w:rsidTr="00D60B61">
        <w:tc>
          <w:tcPr>
            <w:tcW w:w="252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Assistant Superintendents, Directors, Building Principals, and supervisory employees</w:t>
            </w:r>
          </w:p>
        </w:tc>
        <w:tc>
          <w:tcPr>
            <w:tcW w:w="648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 xml:space="preserve">Reads </w:t>
            </w:r>
            <w:r>
              <w:rPr>
                <w:b/>
                <w:color w:val="000000"/>
              </w:rPr>
              <w:t xml:space="preserve">PRESS Update Memo </w:t>
            </w:r>
            <w:r>
              <w:rPr>
                <w:color w:val="000000"/>
              </w:rPr>
              <w:t xml:space="preserve">(if applicable) and adopted policies, follows the Superintendent’s process for updating administrative procedures, and makes necessary changes to employee and student handbooks within their assigned building(s). </w:t>
            </w:r>
          </w:p>
        </w:tc>
      </w:tr>
      <w:tr w:rsidR="00957A85" w:rsidTr="00D60B61">
        <w:tc>
          <w:tcPr>
            <w:tcW w:w="252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Anyone</w:t>
            </w:r>
          </w:p>
        </w:tc>
        <w:tc>
          <w:tcPr>
            <w:tcW w:w="6480" w:type="dxa"/>
            <w:tcBorders>
              <w:top w:val="single" w:sz="6" w:space="0" w:color="000000"/>
              <w:left w:val="single" w:sz="6" w:space="0" w:color="000000"/>
              <w:bottom w:val="single" w:sz="6" w:space="0" w:color="000000"/>
              <w:right w:val="single" w:sz="6" w:space="0" w:color="000000"/>
            </w:tcBorders>
          </w:tcPr>
          <w:p w:rsidR="00957A85" w:rsidRDefault="00957A85" w:rsidP="00D60B61">
            <w:pPr>
              <w:pBdr>
                <w:top w:val="nil"/>
                <w:left w:val="nil"/>
                <w:bottom w:val="nil"/>
                <w:right w:val="nil"/>
                <w:between w:val="nil"/>
              </w:pBdr>
              <w:spacing w:before="60" w:after="60"/>
              <w:rPr>
                <w:color w:val="000000"/>
              </w:rPr>
            </w:pPr>
            <w:r>
              <w:rPr>
                <w:color w:val="000000"/>
              </w:rPr>
              <w:t xml:space="preserve">For further clarification, view the online tutorial for </w:t>
            </w:r>
            <w:r>
              <w:rPr>
                <w:b/>
                <w:color w:val="000000"/>
              </w:rPr>
              <w:t>PRESS</w:t>
            </w:r>
            <w:r>
              <w:rPr>
                <w:color w:val="000000"/>
              </w:rPr>
              <w:t xml:space="preserve">, available at </w:t>
            </w:r>
            <w:hyperlink r:id="rId12">
              <w:r>
                <w:rPr>
                  <w:color w:val="0000FF"/>
                  <w:u w:val="single"/>
                </w:rPr>
                <w:t>www.iasb.com/policy</w:t>
              </w:r>
            </w:hyperlink>
            <w:r>
              <w:rPr>
                <w:color w:val="000000"/>
              </w:rPr>
              <w:t>.</w:t>
            </w:r>
          </w:p>
        </w:tc>
      </w:tr>
    </w:tbl>
    <w:p w:rsidR="00A7401A" w:rsidRDefault="00A7401A"/>
    <w:sectPr w:rsidR="00A7401A" w:rsidSect="00A7401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60" w:rsidRDefault="00270A60" w:rsidP="000439CE">
      <w:r>
        <w:separator/>
      </w:r>
    </w:p>
  </w:endnote>
  <w:endnote w:type="continuationSeparator" w:id="0">
    <w:p w:rsidR="00270A60" w:rsidRDefault="00270A60"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85" w:rsidRDefault="00957A85">
    <w:pPr>
      <w:pBdr>
        <w:top w:val="nil"/>
        <w:left w:val="nil"/>
        <w:bottom w:val="nil"/>
        <w:right w:val="nil"/>
        <w:between w:val="nil"/>
      </w:pBdr>
      <w:tabs>
        <w:tab w:val="center" w:pos="4320"/>
        <w:tab w:val="right" w:pos="8640"/>
        <w:tab w:val="right" w:pos="9000"/>
      </w:tabs>
      <w:rPr>
        <w:color w:val="000000"/>
      </w:rPr>
    </w:pPr>
  </w:p>
  <w:p w:rsidR="00957A85" w:rsidRDefault="00957A85">
    <w:pPr>
      <w:pBdr>
        <w:top w:val="nil"/>
        <w:left w:val="nil"/>
        <w:bottom w:val="nil"/>
        <w:right w:val="nil"/>
        <w:between w:val="nil"/>
      </w:pBdr>
      <w:tabs>
        <w:tab w:val="center" w:pos="4320"/>
        <w:tab w:val="right" w:pos="8640"/>
        <w:tab w:val="right" w:pos="9000"/>
      </w:tabs>
      <w:rPr>
        <w:color w:val="000000"/>
      </w:rPr>
    </w:pPr>
    <w:r>
      <w:rPr>
        <w:color w:val="000000"/>
      </w:rPr>
      <w:t>2:240-E1</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60" w:rsidRDefault="00270A60" w:rsidP="000439CE">
      <w:r>
        <w:separator/>
      </w:r>
    </w:p>
  </w:footnote>
  <w:footnote w:type="continuationSeparator" w:id="0">
    <w:p w:rsidR="00270A60" w:rsidRDefault="00270A60" w:rsidP="0004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A9B"/>
    <w:multiLevelType w:val="multilevel"/>
    <w:tmpl w:val="FC5AB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1377A8"/>
    <w:multiLevelType w:val="multilevel"/>
    <w:tmpl w:val="5002ADB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A2736DC"/>
    <w:multiLevelType w:val="multilevel"/>
    <w:tmpl w:val="C44E9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439CE"/>
    <w:rsid w:val="002545D3"/>
    <w:rsid w:val="00270A60"/>
    <w:rsid w:val="00291A37"/>
    <w:rsid w:val="002F3AEE"/>
    <w:rsid w:val="00432A68"/>
    <w:rsid w:val="008A66FB"/>
    <w:rsid w:val="00957A85"/>
    <w:rsid w:val="00A7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85"/>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957A85"/>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57A8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A85"/>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957A85"/>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957A85"/>
    <w:pPr>
      <w:spacing w:after="120"/>
    </w:pPr>
  </w:style>
  <w:style w:type="character" w:customStyle="1" w:styleId="BodyTextChar">
    <w:name w:val="Body Text Char"/>
    <w:basedOn w:val="DefaultParagraphFont"/>
    <w:link w:val="BodyText"/>
    <w:uiPriority w:val="99"/>
    <w:semiHidden/>
    <w:rsid w:val="00957A85"/>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asb.com/IASB/media/Documents/PRESSPlusOnlineUserGuid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sb.com/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sb.com/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sb.com" TargetMode="External"/><Relationship Id="rId4" Type="http://schemas.openxmlformats.org/officeDocument/2006/relationships/settings" Target="settings.xml"/><Relationship Id="rId9" Type="http://schemas.openxmlformats.org/officeDocument/2006/relationships/hyperlink" Target="http://www.ias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6B028-7F87-4DE2-9FDA-E0C4F632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2022-05-23T13:58:00Z</dcterms:created>
  <dcterms:modified xsi:type="dcterms:W3CDTF">2022-05-23T13:58:00Z</dcterms:modified>
</cp:coreProperties>
</file>