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A" w:rsidRDefault="00BF4A78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6:170-AP1</w:t>
      </w:r>
    </w:p>
    <w:p w:rsidR="0040633A" w:rsidRDefault="0040633A">
      <w:pPr>
        <w:tabs>
          <w:tab w:val="right" w:pos="9000"/>
        </w:tabs>
      </w:pPr>
    </w:p>
    <w:p w:rsidR="0040633A" w:rsidRDefault="00BF4A78">
      <w:pPr>
        <w:pStyle w:val="Heading10"/>
        <w:rPr>
          <w:sz w:val="24"/>
          <w:szCs w:val="24"/>
        </w:rPr>
      </w:pPr>
      <w:r>
        <w:rPr>
          <w:sz w:val="24"/>
          <w:szCs w:val="24"/>
        </w:rPr>
        <w:t>Instruction</w:t>
      </w:r>
    </w:p>
    <w:p w:rsidR="0040633A" w:rsidRDefault="00BF4A78">
      <w:pPr>
        <w:pStyle w:val="Heading20"/>
        <w:rPr>
          <w:sz w:val="24"/>
          <w:szCs w:val="24"/>
        </w:rPr>
      </w:pPr>
      <w:r>
        <w:rPr>
          <w:sz w:val="24"/>
          <w:szCs w:val="24"/>
        </w:rPr>
        <w:t>Administrative Procedure - Checklist for Development, Implementation, and Maintenance of Parent and Family Engagement Compacts for Title I Programs</w:t>
      </w:r>
      <w:r>
        <w:rPr>
          <w:sz w:val="24"/>
          <w:szCs w:val="24"/>
          <w:u w:val="none"/>
        </w:rPr>
        <w:t xml:space="preserve"> </w:t>
      </w:r>
    </w:p>
    <w:p w:rsidR="0040633A" w:rsidRDefault="00BF4A7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The development, implementation, and maintenance of parent/guardian and </w:t>
      </w:r>
      <w:r>
        <w:rPr>
          <w:color w:val="000000"/>
        </w:rPr>
        <w:t>family engagement compacts must be accomplished with meaningful consultation with parents/guardians of children participating in Title I programs. The Superintendent designates a person to be responsible for the process of obtaining meaningful consultation</w:t>
      </w:r>
      <w:r>
        <w:rPr>
          <w:color w:val="000000"/>
        </w:rPr>
        <w:t>. This checklist includes some measures designed to encourage meaningful consultation.</w:t>
      </w:r>
    </w:p>
    <w:p w:rsidR="0040633A" w:rsidRDefault="00BF4A78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</w:rPr>
      </w:pPr>
      <w:r>
        <w:rPr>
          <w:color w:val="000000"/>
        </w:rPr>
        <w:t xml:space="preserve">This is an annual checklist. </w:t>
      </w:r>
      <w:r>
        <w:rPr>
          <w:i/>
          <w:color w:val="000000"/>
        </w:rPr>
        <w:t>Check steps as completed</w:t>
      </w:r>
      <w:r>
        <w:rPr>
          <w:color w:val="000000"/>
        </w:rPr>
        <w:t>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 xml:space="preserve">Plan regular meetings throughout the school year with parents/guardians to discuss the District and/or school </w:t>
      </w:r>
      <w:r>
        <w:rPr>
          <w:color w:val="000000"/>
        </w:rPr>
        <w:t>compacts; identify dates and convenient times, places, and persons whose attendance is desired. Offer meetings in the morning or evening, and, if funds are available under Title I for this purpose, provide transportation, childcare, or home visits, as such</w:t>
      </w:r>
      <w:r>
        <w:rPr>
          <w:color w:val="000000"/>
        </w:rPr>
        <w:t xml:space="preserve"> services relate to parent/guardian involvement.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</w:pPr>
      <w:r>
        <w:rPr>
          <w:color w:val="000000"/>
        </w:rPr>
        <w:t>Plan an agenda for meetings to be held to discuss District and/or school compacts.</w:t>
      </w:r>
    </w:p>
    <w:p w:rsidR="0040633A" w:rsidRDefault="00BF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Always begin with “introducing where we are now” and end with “next steps.”</w:t>
      </w:r>
    </w:p>
    <w:p w:rsidR="0040633A" w:rsidRDefault="00BF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Agendas should provide for two-way communication</w:t>
      </w:r>
      <w:r>
        <w:rPr>
          <w:color w:val="000000"/>
        </w:rPr>
        <w:t xml:space="preserve"> between District and parents/guardians of children participating in Title I programs.</w:t>
      </w:r>
    </w:p>
    <w:p w:rsidR="0040633A" w:rsidRDefault="00BF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Agendas can be built around the federal compliance requirements as stated in the IASB sample district- and school-level compacts.</w:t>
      </w:r>
    </w:p>
    <w:p w:rsidR="0040633A" w:rsidRDefault="00BF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Agendas should also include a section t</w:t>
      </w:r>
      <w:r>
        <w:rPr>
          <w:color w:val="000000"/>
        </w:rPr>
        <w:t>o inform parents/guardians of their school’s participation under Title I and to explain Title I’s requirements regarding parent/guardian involvement, including the right of the parents/guardians to be involved.</w:t>
      </w:r>
    </w:p>
    <w:p w:rsidR="0040633A" w:rsidRDefault="00BF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Agendas should also include a section to desc</w:t>
      </w:r>
      <w:r>
        <w:rPr>
          <w:color w:val="000000"/>
        </w:rPr>
        <w:t>ribe and explain the curriculum in use at the school, the forms of academic assessment used to measure student progress, and the achievement levels of challenging State academic standards.</w:t>
      </w:r>
    </w:p>
    <w:p w:rsidR="0040633A" w:rsidRDefault="00BF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If requested by a parent/guardian, agendas should also include a se</w:t>
      </w:r>
      <w:r>
        <w:rPr>
          <w:color w:val="000000"/>
        </w:rPr>
        <w:t>ction for parents/guardians to formulate suggestions and to participate, as appropriate, in decisions relating to their children’s education.</w:t>
      </w:r>
    </w:p>
    <w:p w:rsidR="0040633A" w:rsidRDefault="00BF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Agendas should also include a section to involve parents/guardians in the planning, review, and improvement of Tit</w:t>
      </w:r>
      <w:r>
        <w:rPr>
          <w:color w:val="000000"/>
        </w:rPr>
        <w:t xml:space="preserve">le I programs, including the joint development of the </w:t>
      </w:r>
      <w:proofErr w:type="spellStart"/>
      <w:r>
        <w:rPr>
          <w:color w:val="000000"/>
        </w:rPr>
        <w:t>schoolwide</w:t>
      </w:r>
      <w:proofErr w:type="spellEnd"/>
      <w:r>
        <w:rPr>
          <w:color w:val="000000"/>
        </w:rPr>
        <w:t xml:space="preserve"> program plan under 20 U.S.C. §6314(b)(2).</w:t>
      </w:r>
    </w:p>
    <w:p w:rsidR="0040633A" w:rsidRDefault="00BF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 xml:space="preserve">Another agenda topic is how funds are allotted for parent/guardian involvement in activities; parents/guardians of children receiving services must </w:t>
      </w:r>
      <w:r>
        <w:rPr>
          <w:color w:val="000000"/>
        </w:rPr>
        <w:t>be involved in these decisions.</w:t>
      </w:r>
    </w:p>
    <w:p w:rsidR="0040633A" w:rsidRDefault="00BF4A7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</w:pPr>
      <w:r>
        <w:rPr>
          <w:color w:val="000000"/>
        </w:rPr>
        <w:t>Notify interested persons of meeting dates to discuss the District and/or school compacts, including: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firstLine="0"/>
        <w:jc w:val="both"/>
      </w:pPr>
      <w:r>
        <w:rPr>
          <w:color w:val="000000"/>
        </w:rPr>
        <w:t>Parents/guardians of students’ participating in Title I programs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firstLine="0"/>
        <w:jc w:val="both"/>
      </w:pPr>
      <w:r>
        <w:rPr>
          <w:color w:val="000000"/>
        </w:rPr>
        <w:t>Staff members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firstLine="0"/>
        <w:jc w:val="both"/>
      </w:pPr>
      <w:r>
        <w:rPr>
          <w:color w:val="000000"/>
        </w:rPr>
        <w:t>Students participating in Title I programs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firstLine="0"/>
        <w:jc w:val="both"/>
      </w:pPr>
      <w:r>
        <w:rPr>
          <w:color w:val="000000"/>
        </w:rPr>
        <w:t>School Board members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firstLine="0"/>
        <w:jc w:val="both"/>
        <w:sectPr w:rsidR="0040633A">
          <w:footerReference w:type="default" r:id="rId7"/>
          <w:pgSz w:w="12240" w:h="15840"/>
          <w:pgMar w:top="1440" w:right="1080" w:bottom="1440" w:left="1440" w:header="720" w:footer="720" w:gutter="0"/>
          <w:pgNumType w:start="1"/>
          <w:cols w:space="708"/>
        </w:sectPr>
      </w:pPr>
      <w:r>
        <w:rPr>
          <w:color w:val="000000"/>
        </w:rPr>
        <w:t>Media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firstLine="0"/>
      </w:pPr>
      <w:r>
        <w:rPr>
          <w:color w:val="000000"/>
        </w:rPr>
        <w:lastRenderedPageBreak/>
        <w:t>Coordinators for other school programs, e.g., Head Start and preschool programs</w:t>
      </w:r>
    </w:p>
    <w:p w:rsidR="0040633A" w:rsidRDefault="00BF4A78" w:rsidP="00524D03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before="60"/>
        <w:ind w:left="720"/>
      </w:pPr>
      <w:r>
        <w:rPr>
          <w:color w:val="000000"/>
        </w:rPr>
        <w:t xml:space="preserve">Other </w:t>
      </w:r>
      <w:r>
        <w:rPr>
          <w:color w:val="000000"/>
          <w:u w:val="single"/>
        </w:rPr>
        <w:tab/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 xml:space="preserve">Publicize the meeting dates, </w:t>
      </w:r>
      <w:r>
        <w:rPr>
          <w:color w:val="000000"/>
        </w:rPr>
        <w:t>times, and locations to discuss District and/or school compacts.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 xml:space="preserve">Make all Open Meetings Act notifications and postings for meetings to be held to discuss District and/or school compacts. Note: it is wise to assume these meetings will be in open session if </w:t>
      </w:r>
      <w:r>
        <w:rPr>
          <w:color w:val="000000"/>
        </w:rPr>
        <w:t>Board members are expected to attend or if the meetings are conducted by a Board-appointed committee.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>Appoint a recording secretary to keep meeting minutes.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 xml:space="preserve">Provide copies of working drafts to parents/guardians in an understandable and uniform format and, </w:t>
      </w:r>
      <w:r>
        <w:rPr>
          <w:color w:val="000000"/>
        </w:rPr>
        <w:t>to the extent practicable, in a language the parents/guardians can understand.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 xml:space="preserve">Determine </w:t>
      </w:r>
      <w:r>
        <w:rPr>
          <w:i/>
          <w:color w:val="000000"/>
        </w:rPr>
        <w:t>success</w:t>
      </w:r>
      <w:r>
        <w:rPr>
          <w:color w:val="000000"/>
        </w:rPr>
        <w:t xml:space="preserve"> indicators to measure the effectiveness of the parent and family engagement compacts in improving the academic achievement.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 xml:space="preserve">Review the </w:t>
      </w:r>
      <w:r>
        <w:rPr>
          <w:i/>
          <w:color w:val="000000"/>
        </w:rPr>
        <w:t>success</w:t>
      </w:r>
      <w:r>
        <w:rPr>
          <w:color w:val="000000"/>
        </w:rPr>
        <w:t xml:space="preserve"> indicators in or</w:t>
      </w:r>
      <w:r>
        <w:rPr>
          <w:color w:val="000000"/>
        </w:rPr>
        <w:t>der to evaluate the effectiveness of the parent and family engagement compacts in improving the academic achievement.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 xml:space="preserve">Identify: 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Barriers to greater participation by parents/guardians, with particular attention to parents/guardians who are economically dis</w:t>
      </w:r>
      <w:r>
        <w:rPr>
          <w:color w:val="000000"/>
        </w:rPr>
        <w:t xml:space="preserve">advantaged, are disabled, have limited English proficiency, have limited literacy, or are of any racial or ethnic minority background;  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The needs of parents/guardians and family members to assist with the learning of their children, including engaging </w:t>
      </w:r>
      <w:r>
        <w:rPr>
          <w:color w:val="000000"/>
        </w:rPr>
        <w:t>with school personnel and teachers; and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Strategies to support successful school and family interactions.</w:t>
      </w:r>
    </w:p>
    <w:p w:rsidR="0040633A" w:rsidRDefault="00BF4A78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color w:val="000000"/>
        </w:rPr>
      </w:pPr>
      <w:r>
        <w:rPr>
          <w:color w:val="000000"/>
        </w:rPr>
        <w:t>Use the findings of such evaluation to design evidence-based strategies for more effective parent/guardian involvement.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 xml:space="preserve">If the </w:t>
      </w:r>
      <w:proofErr w:type="spellStart"/>
      <w:r>
        <w:rPr>
          <w:color w:val="000000"/>
        </w:rPr>
        <w:t>schoolwide</w:t>
      </w:r>
      <w:proofErr w:type="spellEnd"/>
      <w:r>
        <w:rPr>
          <w:color w:val="000000"/>
        </w:rPr>
        <w:t xml:space="preserve"> program plan </w:t>
      </w:r>
      <w:r>
        <w:rPr>
          <w:color w:val="000000"/>
        </w:rPr>
        <w:t>under 20 U.S.C. §6314(b)(2) is not satisfactory to the parents/guardians of participating children, submit any parents/guardians comments on the plan when the school makes the plan available to the Board.</w:t>
      </w:r>
    </w:p>
    <w:p w:rsidR="0040633A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>Provide status reports to the Board and, periodical</w:t>
      </w:r>
      <w:r>
        <w:rPr>
          <w:color w:val="000000"/>
        </w:rPr>
        <w:t>ly, submit updated parent and family engagement compacts to the Board.</w:t>
      </w:r>
    </w:p>
    <w:p w:rsidR="00524D03" w:rsidRDefault="00BF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</w:pPr>
      <w:r>
        <w:rPr>
          <w:color w:val="000000"/>
        </w:rPr>
        <w:t>Revise the applicable parent and family engagement compacts as necessar</w:t>
      </w:r>
      <w:r>
        <w:rPr>
          <w:color w:val="000000"/>
        </w:rPr>
        <w:t>y</w:t>
      </w:r>
    </w:p>
    <w:p w:rsidR="00524D03" w:rsidRPr="00524D03" w:rsidRDefault="00524D03" w:rsidP="00524D03"/>
    <w:p w:rsidR="00524D03" w:rsidRPr="00524D03" w:rsidRDefault="00524D03" w:rsidP="00524D03"/>
    <w:p w:rsidR="00524D03" w:rsidRPr="00524D03" w:rsidRDefault="00524D03" w:rsidP="00524D03"/>
    <w:p w:rsidR="00524D03" w:rsidRPr="00524D03" w:rsidRDefault="00524D03" w:rsidP="00524D03"/>
    <w:p w:rsidR="00524D03" w:rsidRPr="00524D03" w:rsidRDefault="00524D03" w:rsidP="00524D03"/>
    <w:p w:rsidR="00524D03" w:rsidRPr="00524D03" w:rsidRDefault="00524D03" w:rsidP="00524D03"/>
    <w:p w:rsidR="00524D03" w:rsidRPr="00524D03" w:rsidRDefault="00524D03" w:rsidP="00524D03"/>
    <w:p w:rsidR="00524D03" w:rsidRPr="00524D03" w:rsidRDefault="00524D03" w:rsidP="00524D03"/>
    <w:p w:rsidR="00524D03" w:rsidRDefault="00524D03" w:rsidP="00524D03"/>
    <w:p w:rsidR="00524D03" w:rsidRPr="00524D03" w:rsidRDefault="00524D03" w:rsidP="00524D03"/>
    <w:p w:rsidR="0040633A" w:rsidRDefault="0040633A" w:rsidP="00524D03">
      <w:pPr>
        <w:tabs>
          <w:tab w:val="left" w:pos="2310"/>
          <w:tab w:val="right" w:pos="9000"/>
        </w:tabs>
      </w:pPr>
    </w:p>
    <w:sectPr w:rsidR="0040633A" w:rsidSect="0040633A">
      <w:footerReference w:type="default" r:id="rId8"/>
      <w:pgSz w:w="12240" w:h="15840"/>
      <w:pgMar w:top="1440" w:right="108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78" w:rsidRDefault="00BF4A78" w:rsidP="0040633A">
      <w:r>
        <w:separator/>
      </w:r>
    </w:p>
  </w:endnote>
  <w:endnote w:type="continuationSeparator" w:id="0">
    <w:p w:rsidR="00BF4A78" w:rsidRDefault="00BF4A78" w:rsidP="0040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3A" w:rsidRDefault="004063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40633A" w:rsidRDefault="00BF4A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6:170-AP1</w:t>
    </w:r>
    <w:r>
      <w:rPr>
        <w:color w:val="000000"/>
      </w:rPr>
      <w:tab/>
    </w:r>
    <w:r>
      <w:rPr>
        <w:color w:val="000000"/>
      </w:rPr>
      <w:tab/>
      <w:t xml:space="preserve">Page </w:t>
    </w:r>
    <w:r w:rsidR="0040633A">
      <w:rPr>
        <w:color w:val="000000"/>
      </w:rPr>
      <w:fldChar w:fldCharType="begin"/>
    </w:r>
    <w:r>
      <w:rPr>
        <w:color w:val="000000"/>
      </w:rPr>
      <w:instrText>PAGE</w:instrText>
    </w:r>
    <w:r w:rsidR="0040633A">
      <w:rPr>
        <w:color w:val="000000"/>
      </w:rPr>
      <w:fldChar w:fldCharType="separate"/>
    </w:r>
    <w:r w:rsidR="00524D03">
      <w:rPr>
        <w:noProof/>
        <w:color w:val="000000"/>
      </w:rPr>
      <w:t>1</w:t>
    </w:r>
    <w:r w:rsidR="0040633A">
      <w:rPr>
        <w:color w:val="000000"/>
      </w:rPr>
      <w:fldChar w:fldCharType="end"/>
    </w:r>
    <w:r>
      <w:rPr>
        <w:color w:val="000000"/>
      </w:rPr>
      <w:t xml:space="preserve">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3A" w:rsidRPr="00524D03" w:rsidRDefault="00524D03" w:rsidP="00524D03">
    <w:pPr>
      <w:pStyle w:val="Footer"/>
    </w:pPr>
    <w:r>
      <w:t>6:170-AP1</w:t>
    </w:r>
    <w:r>
      <w:tab/>
    </w:r>
    <w:r>
      <w:tab/>
      <w:t>Page 2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78" w:rsidRDefault="00BF4A78" w:rsidP="0040633A">
      <w:r>
        <w:separator/>
      </w:r>
    </w:p>
  </w:footnote>
  <w:footnote w:type="continuationSeparator" w:id="0">
    <w:p w:rsidR="00BF4A78" w:rsidRDefault="00BF4A78" w:rsidP="00406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C9EB"/>
    <w:multiLevelType w:val="hybridMultilevel"/>
    <w:tmpl w:val="00000000"/>
    <w:lvl w:ilvl="0" w:tplc="AC1059E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C712990A">
      <w:start w:val="1"/>
      <w:numFmt w:val="bullet"/>
      <w:lvlText w:val=""/>
      <w:lvlJc w:val="left"/>
      <w:pPr>
        <w:ind w:left="0" w:firstLine="0"/>
      </w:pPr>
    </w:lvl>
    <w:lvl w:ilvl="2" w:tplc="841E1C5C">
      <w:start w:val="1"/>
      <w:numFmt w:val="bullet"/>
      <w:lvlText w:val=""/>
      <w:lvlJc w:val="left"/>
      <w:pPr>
        <w:ind w:left="0" w:firstLine="0"/>
      </w:pPr>
    </w:lvl>
    <w:lvl w:ilvl="3" w:tplc="582E6DD4">
      <w:start w:val="1"/>
      <w:numFmt w:val="bullet"/>
      <w:lvlText w:val=""/>
      <w:lvlJc w:val="left"/>
      <w:pPr>
        <w:ind w:left="0" w:firstLine="0"/>
      </w:pPr>
    </w:lvl>
    <w:lvl w:ilvl="4" w:tplc="BC7A2920">
      <w:start w:val="1"/>
      <w:numFmt w:val="bullet"/>
      <w:lvlText w:val=""/>
      <w:lvlJc w:val="left"/>
      <w:pPr>
        <w:ind w:left="0" w:firstLine="0"/>
      </w:pPr>
    </w:lvl>
    <w:lvl w:ilvl="5" w:tplc="0C5EC514">
      <w:start w:val="1"/>
      <w:numFmt w:val="bullet"/>
      <w:lvlText w:val=""/>
      <w:lvlJc w:val="left"/>
      <w:pPr>
        <w:ind w:left="0" w:firstLine="0"/>
      </w:pPr>
    </w:lvl>
    <w:lvl w:ilvl="6" w:tplc="2F620842">
      <w:start w:val="1"/>
      <w:numFmt w:val="bullet"/>
      <w:lvlText w:val=""/>
      <w:lvlJc w:val="left"/>
      <w:pPr>
        <w:ind w:left="0" w:firstLine="0"/>
      </w:pPr>
    </w:lvl>
    <w:lvl w:ilvl="7" w:tplc="235C05BA">
      <w:start w:val="1"/>
      <w:numFmt w:val="bullet"/>
      <w:lvlText w:val=""/>
      <w:lvlJc w:val="left"/>
      <w:pPr>
        <w:ind w:left="0" w:firstLine="0"/>
      </w:pPr>
    </w:lvl>
    <w:lvl w:ilvl="8" w:tplc="2732FDA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1CCAD47"/>
    <w:multiLevelType w:val="hybridMultilevel"/>
    <w:tmpl w:val="00000000"/>
    <w:lvl w:ilvl="0" w:tplc="2AFA1354">
      <w:start w:val="1"/>
      <w:numFmt w:val="decimal"/>
      <w:lvlText w:val="%1."/>
      <w:lvlJc w:val="left"/>
      <w:pPr>
        <w:ind w:left="720" w:hanging="360"/>
      </w:pPr>
    </w:lvl>
    <w:lvl w:ilvl="1" w:tplc="D4765AF2">
      <w:start w:val="1"/>
      <w:numFmt w:val="bullet"/>
      <w:lvlText w:val=""/>
      <w:lvlJc w:val="left"/>
      <w:pPr>
        <w:ind w:left="0" w:firstLine="0"/>
      </w:pPr>
    </w:lvl>
    <w:lvl w:ilvl="2" w:tplc="92C64C5A">
      <w:start w:val="1"/>
      <w:numFmt w:val="bullet"/>
      <w:lvlText w:val=""/>
      <w:lvlJc w:val="left"/>
      <w:pPr>
        <w:ind w:left="0" w:firstLine="0"/>
      </w:pPr>
    </w:lvl>
    <w:lvl w:ilvl="3" w:tplc="7958B02E">
      <w:start w:val="1"/>
      <w:numFmt w:val="bullet"/>
      <w:lvlText w:val=""/>
      <w:lvlJc w:val="left"/>
      <w:pPr>
        <w:ind w:left="0" w:firstLine="0"/>
      </w:pPr>
    </w:lvl>
    <w:lvl w:ilvl="4" w:tplc="4864B924">
      <w:start w:val="1"/>
      <w:numFmt w:val="bullet"/>
      <w:lvlText w:val=""/>
      <w:lvlJc w:val="left"/>
      <w:pPr>
        <w:ind w:left="0" w:firstLine="0"/>
      </w:pPr>
    </w:lvl>
    <w:lvl w:ilvl="5" w:tplc="0E7C1862">
      <w:start w:val="1"/>
      <w:numFmt w:val="bullet"/>
      <w:lvlText w:val=""/>
      <w:lvlJc w:val="left"/>
      <w:pPr>
        <w:ind w:left="0" w:firstLine="0"/>
      </w:pPr>
    </w:lvl>
    <w:lvl w:ilvl="6" w:tplc="E53E3550">
      <w:start w:val="1"/>
      <w:numFmt w:val="bullet"/>
      <w:lvlText w:val=""/>
      <w:lvlJc w:val="left"/>
      <w:pPr>
        <w:ind w:left="0" w:firstLine="0"/>
      </w:pPr>
    </w:lvl>
    <w:lvl w:ilvl="7" w:tplc="B45233E4">
      <w:start w:val="1"/>
      <w:numFmt w:val="bullet"/>
      <w:lvlText w:val=""/>
      <w:lvlJc w:val="left"/>
      <w:pPr>
        <w:ind w:left="0" w:firstLine="0"/>
      </w:pPr>
    </w:lvl>
    <w:lvl w:ilvl="8" w:tplc="1CD6A24C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A417344"/>
    <w:multiLevelType w:val="hybridMultilevel"/>
    <w:tmpl w:val="00000000"/>
    <w:lvl w:ilvl="0" w:tplc="29FE8448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03091DC">
      <w:start w:val="1"/>
      <w:numFmt w:val="bullet"/>
      <w:lvlText w:val=""/>
      <w:lvlJc w:val="left"/>
      <w:pPr>
        <w:ind w:left="0" w:firstLine="0"/>
      </w:pPr>
    </w:lvl>
    <w:lvl w:ilvl="2" w:tplc="26805230">
      <w:start w:val="1"/>
      <w:numFmt w:val="bullet"/>
      <w:lvlText w:val=""/>
      <w:lvlJc w:val="left"/>
      <w:pPr>
        <w:ind w:left="0" w:firstLine="0"/>
      </w:pPr>
    </w:lvl>
    <w:lvl w:ilvl="3" w:tplc="5C9E7B34">
      <w:start w:val="1"/>
      <w:numFmt w:val="bullet"/>
      <w:lvlText w:val=""/>
      <w:lvlJc w:val="left"/>
      <w:pPr>
        <w:ind w:left="0" w:firstLine="0"/>
      </w:pPr>
    </w:lvl>
    <w:lvl w:ilvl="4" w:tplc="E8E05B74">
      <w:start w:val="1"/>
      <w:numFmt w:val="bullet"/>
      <w:lvlText w:val=""/>
      <w:lvlJc w:val="left"/>
      <w:pPr>
        <w:ind w:left="0" w:firstLine="0"/>
      </w:pPr>
    </w:lvl>
    <w:lvl w:ilvl="5" w:tplc="EEB8A4AC">
      <w:start w:val="1"/>
      <w:numFmt w:val="bullet"/>
      <w:lvlText w:val=""/>
      <w:lvlJc w:val="left"/>
      <w:pPr>
        <w:ind w:left="0" w:firstLine="0"/>
      </w:pPr>
    </w:lvl>
    <w:lvl w:ilvl="6" w:tplc="C5C48E68">
      <w:start w:val="1"/>
      <w:numFmt w:val="bullet"/>
      <w:lvlText w:val=""/>
      <w:lvlJc w:val="left"/>
      <w:pPr>
        <w:ind w:left="0" w:firstLine="0"/>
      </w:pPr>
    </w:lvl>
    <w:lvl w:ilvl="7" w:tplc="CEE22F1C">
      <w:start w:val="1"/>
      <w:numFmt w:val="bullet"/>
      <w:lvlText w:val=""/>
      <w:lvlJc w:val="left"/>
      <w:pPr>
        <w:ind w:left="0" w:firstLine="0"/>
      </w:pPr>
    </w:lvl>
    <w:lvl w:ilvl="8" w:tplc="B2F879E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0633A"/>
    <w:rsid w:val="00524D03"/>
    <w:rsid w:val="00A77B3E"/>
    <w:rsid w:val="00BF4A7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3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031B8"/>
    <w:pPr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2"/>
    </w:rPr>
  </w:style>
  <w:style w:type="paragraph" w:customStyle="1" w:styleId="Heading10">
    <w:name w:val="Heading 1_0"/>
    <w:basedOn w:val="Normal0"/>
    <w:next w:val="Normal0"/>
    <w:link w:val="Heading1Char"/>
    <w:qFormat/>
    <w:rsid w:val="009031B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character" w:customStyle="1" w:styleId="Heading1Char">
    <w:name w:val="Heading 1 Char"/>
    <w:link w:val="Heading10"/>
    <w:rsid w:val="002F26FF"/>
    <w:rPr>
      <w:rFonts w:ascii="Arial" w:hAnsi="Arial"/>
      <w:b/>
      <w:kern w:val="28"/>
      <w:sz w:val="28"/>
      <w:szCs w:val="22"/>
      <w:u w:val="single"/>
      <w:lang w:val="en-US"/>
    </w:rPr>
  </w:style>
  <w:style w:type="paragraph" w:customStyle="1" w:styleId="Heading20">
    <w:name w:val="Heading 2_0"/>
    <w:basedOn w:val="Normal0"/>
    <w:next w:val="BodyText"/>
    <w:link w:val="Heading2Char"/>
    <w:qFormat/>
    <w:rsid w:val="009031B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BodyText">
    <w:name w:val="Body Text"/>
    <w:basedOn w:val="Normal0"/>
    <w:link w:val="BodyTextChar"/>
    <w:rsid w:val="009031B8"/>
    <w:pPr>
      <w:spacing w:before="60" w:after="60"/>
      <w:jc w:val="both"/>
    </w:pPr>
  </w:style>
  <w:style w:type="character" w:customStyle="1" w:styleId="BodyTextChar">
    <w:name w:val="Body Text Char"/>
    <w:link w:val="BodyText"/>
    <w:rsid w:val="002F26FF"/>
    <w:rPr>
      <w:kern w:val="28"/>
      <w:sz w:val="22"/>
      <w:szCs w:val="22"/>
      <w:lang w:val="en-US"/>
    </w:rPr>
  </w:style>
  <w:style w:type="character" w:customStyle="1" w:styleId="Heading2Char">
    <w:name w:val="Heading 2 Char"/>
    <w:link w:val="Heading20"/>
    <w:rsid w:val="002F26FF"/>
    <w:rPr>
      <w:rFonts w:ascii="Arial" w:hAnsi="Arial"/>
      <w:b/>
      <w:kern w:val="28"/>
      <w:sz w:val="22"/>
      <w:szCs w:val="22"/>
      <w:u w:val="single"/>
      <w:lang w:val="en-US"/>
    </w:rPr>
  </w:style>
  <w:style w:type="paragraph" w:styleId="Header">
    <w:name w:val="header"/>
    <w:basedOn w:val="Normal"/>
    <w:link w:val="HeaderChar"/>
    <w:rsid w:val="00524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D03"/>
    <w:rPr>
      <w:sz w:val="24"/>
      <w:szCs w:val="24"/>
    </w:rPr>
  </w:style>
  <w:style w:type="paragraph" w:styleId="Footer">
    <w:name w:val="footer"/>
    <w:basedOn w:val="Normal"/>
    <w:link w:val="FooterChar"/>
    <w:rsid w:val="00524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D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Windows User</cp:lastModifiedBy>
  <cp:revision>2</cp:revision>
  <dcterms:created xsi:type="dcterms:W3CDTF">2021-10-05T18:59:00Z</dcterms:created>
  <dcterms:modified xsi:type="dcterms:W3CDTF">2021-10-05T18:59:00Z</dcterms:modified>
</cp:coreProperties>
</file>