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34C4C" w14:textId="77777777" w:rsidR="007923D4" w:rsidRDefault="007923D4" w:rsidP="007923D4">
      <w:pPr>
        <w:pStyle w:val="Header"/>
        <w:pBdr>
          <w:bottom w:val="single" w:sz="4" w:space="1" w:color="auto"/>
        </w:pBdr>
        <w:tabs>
          <w:tab w:val="clear" w:pos="4320"/>
          <w:tab w:val="clear" w:pos="8640"/>
          <w:tab w:val="right" w:pos="9000"/>
        </w:tabs>
      </w:pPr>
      <w:r>
        <w:t>November 2020</w:t>
      </w:r>
      <w:r>
        <w:tab/>
        <w:t>6:280</w:t>
      </w:r>
    </w:p>
    <w:p w14:paraId="72B2EC2D" w14:textId="77777777" w:rsidR="007923D4" w:rsidRDefault="007923D4" w:rsidP="007923D4">
      <w:pPr>
        <w:tabs>
          <w:tab w:val="right" w:pos="9000"/>
        </w:tabs>
      </w:pPr>
    </w:p>
    <w:p w14:paraId="551B8231" w14:textId="77777777" w:rsidR="007923D4" w:rsidRDefault="007923D4" w:rsidP="007923D4">
      <w:pPr>
        <w:pStyle w:val="Heading1"/>
      </w:pPr>
      <w:r>
        <w:t>Instruction</w:t>
      </w:r>
    </w:p>
    <w:p w14:paraId="1B5E77C8" w14:textId="77777777" w:rsidR="007923D4" w:rsidRDefault="007923D4" w:rsidP="007923D4">
      <w:pPr>
        <w:pStyle w:val="Heading2"/>
      </w:pPr>
      <w:r>
        <w:t>Grading and Promotion</w:t>
      </w:r>
      <w:r>
        <w:rPr>
          <w:u w:val="none"/>
        </w:rPr>
        <w:t xml:space="preserve"> </w:t>
      </w:r>
    </w:p>
    <w:p w14:paraId="1225EF4D" w14:textId="77777777" w:rsidR="007923D4" w:rsidRDefault="007923D4" w:rsidP="007923D4">
      <w:pPr>
        <w:pStyle w:val="BodyText"/>
      </w:pPr>
      <w:bookmarkStart w:id="0" w:name="P628yes"/>
      <w:r>
        <w:t xml:space="preserve">The Superintendent or designee shall establish a system of grading and reporting academic achievement to students and their parents/guardians. The system shall also determine when promotion </w:t>
      </w:r>
      <w:bookmarkStart w:id="1" w:name="ELEM6280"/>
      <w:r>
        <w:t xml:space="preserve">and graduation </w:t>
      </w:r>
      <w:bookmarkEnd w:id="1"/>
      <w:r>
        <w:t xml:space="preserve">requirements are met. The decision to promote a student to the next grade level shall be based on successful completion of the curriculum, attendance, and performance on the standardized tests required by the Ill. State Board of Education (ISBE) and/or other assessments. A student shall not be promoted based upon age or any other social reason not related to academic performance. The administration shall determine remedial assistance for a student who is not promoted. </w:t>
      </w:r>
    </w:p>
    <w:p w14:paraId="545A26ED" w14:textId="77777777" w:rsidR="007923D4" w:rsidRDefault="007923D4" w:rsidP="007923D4">
      <w:pPr>
        <w:pStyle w:val="BodyText"/>
      </w:pPr>
      <w:r>
        <w:t>Every teacher shall maintain an evaluation record for each student in the teacher’s classroom. A District administrator cannot change the final grade assigned by the teacher without notifying the teacher. Reasons for changing a student’s final grade include:</w:t>
      </w:r>
    </w:p>
    <w:p w14:paraId="219436A7" w14:textId="77777777" w:rsidR="007923D4" w:rsidRDefault="007923D4" w:rsidP="007923D4">
      <w:pPr>
        <w:pStyle w:val="ListBullet2"/>
        <w:numPr>
          <w:ilvl w:val="0"/>
          <w:numId w:val="1"/>
        </w:numPr>
        <w:ind w:left="720"/>
      </w:pPr>
      <w:r>
        <w:t>A miscalculation of test scores,</w:t>
      </w:r>
    </w:p>
    <w:p w14:paraId="4E01755D" w14:textId="77777777" w:rsidR="007923D4" w:rsidRDefault="007923D4" w:rsidP="007923D4">
      <w:pPr>
        <w:pStyle w:val="ListBullet2"/>
        <w:numPr>
          <w:ilvl w:val="0"/>
          <w:numId w:val="1"/>
        </w:numPr>
        <w:ind w:left="720"/>
      </w:pPr>
      <w:r>
        <w:t>A technical error in assigning a particular grade or score,</w:t>
      </w:r>
    </w:p>
    <w:p w14:paraId="290062AE" w14:textId="77777777" w:rsidR="007923D4" w:rsidRDefault="007923D4" w:rsidP="007923D4">
      <w:pPr>
        <w:pStyle w:val="ListBullet2"/>
        <w:numPr>
          <w:ilvl w:val="0"/>
          <w:numId w:val="1"/>
        </w:numPr>
        <w:ind w:left="720"/>
      </w:pPr>
      <w:r>
        <w:t>The teacher agrees to allow the student to do extra work that may impact the grade,</w:t>
      </w:r>
    </w:p>
    <w:p w14:paraId="0ED66449" w14:textId="77777777" w:rsidR="007923D4" w:rsidRDefault="007923D4" w:rsidP="007923D4">
      <w:pPr>
        <w:pStyle w:val="ListBullet2"/>
        <w:numPr>
          <w:ilvl w:val="0"/>
          <w:numId w:val="1"/>
        </w:numPr>
        <w:ind w:left="720"/>
      </w:pPr>
      <w:r>
        <w:t>An inappropriate grading system used to determine the grade, or</w:t>
      </w:r>
    </w:p>
    <w:p w14:paraId="51D20B67" w14:textId="77777777" w:rsidR="007923D4" w:rsidRDefault="007923D4" w:rsidP="007923D4">
      <w:pPr>
        <w:pStyle w:val="ListBullet2"/>
        <w:numPr>
          <w:ilvl w:val="0"/>
          <w:numId w:val="1"/>
        </w:numPr>
        <w:ind w:left="720"/>
      </w:pPr>
      <w:r>
        <w:t>An inappropriate grade based on an appropriate grading system.</w:t>
      </w:r>
    </w:p>
    <w:p w14:paraId="020C41D1" w14:textId="77777777" w:rsidR="007923D4" w:rsidRDefault="007923D4" w:rsidP="007923D4">
      <w:pPr>
        <w:pStyle w:val="BodyText"/>
      </w:pPr>
      <w:r>
        <w:t>Should a grade change be made, the administrator making the change must sign the changed record.</w:t>
      </w:r>
    </w:p>
    <w:bookmarkEnd w:id="0"/>
    <w:p w14:paraId="2B45A8C6" w14:textId="77777777" w:rsidR="007923D4" w:rsidRDefault="007923D4" w:rsidP="007923D4">
      <w:pPr>
        <w:pStyle w:val="LEGALREF"/>
      </w:pPr>
      <w:r>
        <w:t>LEGAL REF.:</w:t>
      </w:r>
      <w:r>
        <w:tab/>
        <w:t xml:space="preserve">105 ILCS </w:t>
      </w:r>
      <w:r w:rsidRPr="00507B28">
        <w:t>5/2-3.64</w:t>
      </w:r>
      <w:r>
        <w:t>a-5, 5/10-20.9a, 5/10-21.8, and 5/27-27.</w:t>
      </w:r>
    </w:p>
    <w:p w14:paraId="2A68701A" w14:textId="77777777" w:rsidR="007923D4" w:rsidRDefault="007923D4" w:rsidP="007923D4">
      <w:pPr>
        <w:pStyle w:val="CROSSREF"/>
      </w:pPr>
      <w:r>
        <w:t>CROSS REF.:</w:t>
      </w:r>
      <w:r>
        <w:tab/>
        <w:t>6:110 (Programs for Students At Risk of Academic Failure and/or Dropping Out of School and Graduation Incentives Program), 6:300 (Graduation Requirements), 6:340 (Student Testing and Assessment Program), 7:50 (School Admissions and Student Transfers To and From Non-District Schools)</w:t>
      </w:r>
    </w:p>
    <w:p w14:paraId="03A15A75" w14:textId="77777777" w:rsidR="007923D4" w:rsidRDefault="007923D4" w:rsidP="007923D4">
      <w:pPr>
        <w:pStyle w:val="CROSSREF"/>
        <w:rPr>
          <w:lang w:val="en-US"/>
        </w:rPr>
      </w:pPr>
      <w:r>
        <w:rPr>
          <w:lang w:val="en-US"/>
        </w:rPr>
        <w:t>ADOPTED:</w:t>
      </w:r>
      <w:r>
        <w:rPr>
          <w:lang w:val="en-US"/>
        </w:rPr>
        <w:tab/>
        <w:t>January 14, 2021</w:t>
      </w:r>
    </w:p>
    <w:p w14:paraId="6017F924" w14:textId="77777777" w:rsidR="007923D4" w:rsidRDefault="007923D4" w:rsidP="007923D4">
      <w:pPr>
        <w:pStyle w:val="CROSSREF"/>
      </w:pPr>
    </w:p>
    <w:p w14:paraId="0395460D" w14:textId="77777777" w:rsidR="00174367" w:rsidRDefault="00174367"/>
    <w:sectPr w:rsidR="001743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886F1" w14:textId="77777777" w:rsidR="0088097B" w:rsidRDefault="0088097B" w:rsidP="00174367">
      <w:r>
        <w:separator/>
      </w:r>
    </w:p>
  </w:endnote>
  <w:endnote w:type="continuationSeparator" w:id="0">
    <w:p w14:paraId="41BAD191" w14:textId="77777777" w:rsidR="0088097B" w:rsidRDefault="0088097B" w:rsidP="0017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114BE" w14:textId="713BE0E8" w:rsidR="007923D4" w:rsidRDefault="007923D4" w:rsidP="007923D4">
    <w:pPr>
      <w:pStyle w:val="Footer"/>
      <w:tabs>
        <w:tab w:val="right" w:pos="9000"/>
      </w:tabs>
    </w:pPr>
    <w:r>
      <w:t>6:280</w:t>
    </w:r>
    <w:r>
      <w:tab/>
    </w:r>
    <w:r>
      <w:tab/>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SECTIONPAGES   \* MERGEFORMAT </w:instrText>
    </w:r>
    <w:r>
      <w:fldChar w:fldCharType="separate"/>
    </w:r>
    <w:r>
      <w:rPr>
        <w:noProof/>
      </w:rPr>
      <w:t>1</w:t>
    </w:r>
    <w:r>
      <w:fldChar w:fldCharType="end"/>
    </w:r>
  </w:p>
  <w:p w14:paraId="6E17ECB6" w14:textId="523967B7" w:rsidR="00174367" w:rsidRDefault="001743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C0C32" w14:textId="77777777" w:rsidR="0088097B" w:rsidRDefault="0088097B" w:rsidP="00174367">
      <w:r>
        <w:separator/>
      </w:r>
    </w:p>
  </w:footnote>
  <w:footnote w:type="continuationSeparator" w:id="0">
    <w:p w14:paraId="04FC750A" w14:textId="77777777" w:rsidR="0088097B" w:rsidRDefault="0088097B" w:rsidP="00174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B08806"/>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67"/>
    <w:rsid w:val="00174367"/>
    <w:rsid w:val="00181363"/>
    <w:rsid w:val="001E6646"/>
    <w:rsid w:val="00653F20"/>
    <w:rsid w:val="007923D4"/>
    <w:rsid w:val="00814D49"/>
    <w:rsid w:val="0088097B"/>
    <w:rsid w:val="008D0399"/>
    <w:rsid w:val="00976D9D"/>
    <w:rsid w:val="009C64D5"/>
    <w:rsid w:val="009C6CDF"/>
    <w:rsid w:val="00A706DF"/>
    <w:rsid w:val="00D30F49"/>
    <w:rsid w:val="00DE3A2E"/>
    <w:rsid w:val="00EA4EC3"/>
    <w:rsid w:val="00EE25B8"/>
    <w:rsid w:val="00FD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8DB6B"/>
  <w15:chartTrackingRefBased/>
  <w15:docId w15:val="{4D881599-966D-1B47-A61B-A03F1A0C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923D4"/>
    <w:pPr>
      <w:keepNext/>
      <w:overflowPunct w:val="0"/>
      <w:autoSpaceDE w:val="0"/>
      <w:autoSpaceDN w:val="0"/>
      <w:adjustRightInd w:val="0"/>
      <w:spacing w:before="120" w:after="120"/>
      <w:jc w:val="center"/>
      <w:textAlignment w:val="baseline"/>
      <w:outlineLvl w:val="0"/>
    </w:pPr>
    <w:rPr>
      <w:rFonts w:ascii="Arial" w:eastAsia="Times New Roman" w:hAnsi="Arial" w:cs="Times New Roman"/>
      <w:b/>
      <w:kern w:val="28"/>
      <w:sz w:val="28"/>
      <w:szCs w:val="20"/>
      <w:u w:val="single"/>
      <w:lang w:val="x-none" w:eastAsia="x-none"/>
    </w:rPr>
  </w:style>
  <w:style w:type="paragraph" w:styleId="Heading2">
    <w:name w:val="heading 2"/>
    <w:basedOn w:val="Normal"/>
    <w:next w:val="BodyText"/>
    <w:link w:val="Heading2Char"/>
    <w:qFormat/>
    <w:rsid w:val="007923D4"/>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3D4"/>
    <w:rPr>
      <w:rFonts w:ascii="Arial" w:eastAsia="Times New Roman" w:hAnsi="Arial" w:cs="Times New Roman"/>
      <w:b/>
      <w:kern w:val="28"/>
      <w:sz w:val="28"/>
      <w:szCs w:val="20"/>
      <w:u w:val="single"/>
      <w:lang w:val="x-none" w:eastAsia="x-none"/>
    </w:rPr>
  </w:style>
  <w:style w:type="character" w:customStyle="1" w:styleId="Heading2Char">
    <w:name w:val="Heading 2 Char"/>
    <w:basedOn w:val="DefaultParagraphFont"/>
    <w:link w:val="Heading2"/>
    <w:rsid w:val="007923D4"/>
    <w:rPr>
      <w:rFonts w:ascii="Arial" w:eastAsia="Times New Roman" w:hAnsi="Arial" w:cs="Times New Roman"/>
      <w:b/>
      <w:kern w:val="28"/>
      <w:sz w:val="22"/>
      <w:szCs w:val="20"/>
      <w:u w:val="single"/>
      <w:lang w:val="x-none" w:eastAsia="x-none"/>
    </w:rPr>
  </w:style>
  <w:style w:type="paragraph" w:styleId="BodyText">
    <w:name w:val="Body Text"/>
    <w:basedOn w:val="Normal"/>
    <w:link w:val="BodyTextChar"/>
    <w:rsid w:val="007923D4"/>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lang w:val="x-none" w:eastAsia="x-none"/>
    </w:rPr>
  </w:style>
  <w:style w:type="character" w:customStyle="1" w:styleId="BodyTextChar">
    <w:name w:val="Body Text Char"/>
    <w:basedOn w:val="DefaultParagraphFont"/>
    <w:link w:val="BodyText"/>
    <w:rsid w:val="007923D4"/>
    <w:rPr>
      <w:rFonts w:ascii="Times New Roman" w:eastAsia="Times New Roman" w:hAnsi="Times New Roman" w:cs="Times New Roman"/>
      <w:kern w:val="28"/>
      <w:sz w:val="22"/>
      <w:szCs w:val="20"/>
      <w:lang w:val="x-none" w:eastAsia="x-none"/>
    </w:rPr>
  </w:style>
  <w:style w:type="paragraph" w:customStyle="1" w:styleId="LEGALREF">
    <w:name w:val="LEGAL REF"/>
    <w:basedOn w:val="Normal"/>
    <w:link w:val="LEGALREFChar"/>
    <w:rsid w:val="007923D4"/>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eastAsia="Times New Roman" w:hAnsi="Times New Roman" w:cs="Times New Roman"/>
      <w:spacing w:val="-2"/>
      <w:kern w:val="28"/>
      <w:sz w:val="22"/>
      <w:szCs w:val="20"/>
      <w:lang w:val="x-none" w:eastAsia="x-none"/>
    </w:rPr>
  </w:style>
  <w:style w:type="paragraph" w:customStyle="1" w:styleId="CROSSREF">
    <w:name w:val="CROSS REF"/>
    <w:basedOn w:val="Normal"/>
    <w:link w:val="CROSSREFChar"/>
    <w:rsid w:val="007923D4"/>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lang w:val="x-none" w:eastAsia="x-none"/>
    </w:rPr>
  </w:style>
  <w:style w:type="paragraph" w:styleId="ListBullet2">
    <w:name w:val="List Bullet 2"/>
    <w:basedOn w:val="Normal"/>
    <w:rsid w:val="007923D4"/>
    <w:pPr>
      <w:overflowPunct w:val="0"/>
      <w:autoSpaceDE w:val="0"/>
      <w:autoSpaceDN w:val="0"/>
      <w:adjustRightInd w:val="0"/>
      <w:ind w:left="720" w:hanging="360"/>
      <w:jc w:val="both"/>
      <w:textAlignment w:val="baseline"/>
    </w:pPr>
    <w:rPr>
      <w:rFonts w:ascii="Times New Roman" w:eastAsia="Times New Roman" w:hAnsi="Times New Roman" w:cs="Times New Roman"/>
      <w:kern w:val="28"/>
      <w:sz w:val="22"/>
      <w:szCs w:val="20"/>
    </w:rPr>
  </w:style>
  <w:style w:type="paragraph" w:styleId="Header">
    <w:name w:val="header"/>
    <w:basedOn w:val="Normal"/>
    <w:link w:val="HeaderChar"/>
    <w:rsid w:val="007923D4"/>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lang w:val="x-none" w:eastAsia="x-none"/>
    </w:rPr>
  </w:style>
  <w:style w:type="character" w:customStyle="1" w:styleId="HeaderChar">
    <w:name w:val="Header Char"/>
    <w:basedOn w:val="DefaultParagraphFont"/>
    <w:link w:val="Header"/>
    <w:rsid w:val="007923D4"/>
    <w:rPr>
      <w:rFonts w:ascii="Times New Roman" w:eastAsia="Times New Roman" w:hAnsi="Times New Roman" w:cs="Times New Roman"/>
      <w:kern w:val="28"/>
      <w:sz w:val="22"/>
      <w:szCs w:val="20"/>
      <w:lang w:val="x-none" w:eastAsia="x-none"/>
    </w:rPr>
  </w:style>
  <w:style w:type="character" w:customStyle="1" w:styleId="LEGALREFChar">
    <w:name w:val="LEGAL REF Char"/>
    <w:link w:val="LEGALREF"/>
    <w:rsid w:val="007923D4"/>
    <w:rPr>
      <w:rFonts w:ascii="Times New Roman" w:eastAsia="Times New Roman" w:hAnsi="Times New Roman" w:cs="Times New Roman"/>
      <w:spacing w:val="-2"/>
      <w:kern w:val="28"/>
      <w:sz w:val="22"/>
      <w:szCs w:val="20"/>
      <w:lang w:val="x-none" w:eastAsia="x-none"/>
    </w:rPr>
  </w:style>
  <w:style w:type="character" w:customStyle="1" w:styleId="CROSSREFChar">
    <w:name w:val="CROSS REF Char"/>
    <w:link w:val="CROSSREF"/>
    <w:rsid w:val="007923D4"/>
    <w:rPr>
      <w:rFonts w:ascii="Times New Roman" w:eastAsia="Times New Roman" w:hAnsi="Times New Roman" w:cs="Times New Roman"/>
      <w:kern w:val="28"/>
      <w:sz w:val="22"/>
      <w:szCs w:val="20"/>
      <w:lang w:val="x-none" w:eastAsia="x-none"/>
    </w:rPr>
  </w:style>
  <w:style w:type="paragraph" w:styleId="Footer">
    <w:name w:val="footer"/>
    <w:basedOn w:val="Normal"/>
    <w:link w:val="FooterChar"/>
    <w:unhideWhenUsed/>
    <w:rsid w:val="007923D4"/>
    <w:pPr>
      <w:tabs>
        <w:tab w:val="center" w:pos="4680"/>
        <w:tab w:val="right" w:pos="9360"/>
      </w:tabs>
    </w:pPr>
  </w:style>
  <w:style w:type="character" w:customStyle="1" w:styleId="FooterChar">
    <w:name w:val="Footer Char"/>
    <w:basedOn w:val="DefaultParagraphFont"/>
    <w:link w:val="Footer"/>
    <w:rsid w:val="00792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2021-01-06T21:20:00Z</dcterms:created>
  <dcterms:modified xsi:type="dcterms:W3CDTF">2021-01-06T21:20:00Z</dcterms:modified>
</cp:coreProperties>
</file>